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A947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1074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A94751">
        <w:rPr>
          <w:b w:val="0"/>
          <w:color w:val="000099"/>
          <w:sz w:val="24"/>
        </w:rPr>
        <w:t>3261-53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3</w:t>
      </w:r>
      <w:r w:rsidR="001D6A01">
        <w:rPr>
          <w:b w:val="0"/>
          <w:bCs w:val="0"/>
          <w:color w:val="000099"/>
          <w:sz w:val="27"/>
          <w:szCs w:val="27"/>
        </w:rPr>
        <w:t>0 апреля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Килина</w:t>
      </w:r>
      <w:r>
        <w:rPr>
          <w:color w:val="000099"/>
          <w:sz w:val="27"/>
          <w:szCs w:val="27"/>
        </w:rPr>
        <w:t xml:space="preserve"> Дениса Владимировича, </w:t>
      </w:r>
      <w:r w:rsidR="00D75300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21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476AC8">
        <w:rPr>
          <w:color w:val="000099"/>
          <w:sz w:val="27"/>
          <w:szCs w:val="27"/>
        </w:rPr>
        <w:t>4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00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</w:t>
      </w:r>
      <w:r w:rsidR="001D6A01"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476AC8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Заводская</w:t>
      </w:r>
      <w:r w:rsidR="001D6A01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17/1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D75300" w:rsidR="00D7530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D75300" w:rsidR="00D7530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2209BB">
        <w:rPr>
          <w:color w:val="000099"/>
          <w:sz w:val="27"/>
          <w:szCs w:val="27"/>
        </w:rPr>
        <w:t>7</w:t>
      </w:r>
      <w:r w:rsidR="00A94751">
        <w:rPr>
          <w:color w:val="000099"/>
          <w:sz w:val="27"/>
          <w:szCs w:val="27"/>
        </w:rPr>
        <w:t>5002</w:t>
      </w:r>
      <w:r w:rsidRPr="00D44C7E">
        <w:rPr>
          <w:color w:val="000099"/>
          <w:sz w:val="27"/>
          <w:szCs w:val="27"/>
        </w:rPr>
        <w:t xml:space="preserve"> от </w:t>
      </w:r>
      <w:r w:rsidR="00A94751">
        <w:rPr>
          <w:color w:val="000099"/>
          <w:sz w:val="27"/>
          <w:szCs w:val="27"/>
        </w:rPr>
        <w:t>21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2209BB">
        <w:rPr>
          <w:color w:val="000099"/>
          <w:sz w:val="27"/>
          <w:szCs w:val="27"/>
        </w:rPr>
        <w:t>4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A94751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A94751">
        <w:rPr>
          <w:color w:val="000099"/>
          <w:sz w:val="27"/>
          <w:szCs w:val="27"/>
        </w:rPr>
        <w:t>320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A94751">
        <w:rPr>
          <w:color w:val="000099"/>
          <w:sz w:val="27"/>
          <w:szCs w:val="27"/>
        </w:rPr>
        <w:t>Килина</w:t>
      </w:r>
      <w:r w:rsidR="00A94751">
        <w:rPr>
          <w:color w:val="000099"/>
          <w:sz w:val="27"/>
          <w:szCs w:val="27"/>
        </w:rPr>
        <w:t xml:space="preserve"> Дениса Владимировича</w:t>
      </w:r>
      <w:r w:rsidRPr="00817ACC" w:rsidR="002209BB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Килина</w:t>
      </w:r>
      <w:r>
        <w:rPr>
          <w:color w:val="000099"/>
          <w:sz w:val="27"/>
          <w:szCs w:val="27"/>
        </w:rPr>
        <w:t xml:space="preserve"> Дениса Владимировича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</w:t>
      </w:r>
      <w:r w:rsidR="00CE34E9">
        <w:rPr>
          <w:color w:val="C00000"/>
          <w:sz w:val="27"/>
          <w:szCs w:val="27"/>
        </w:rPr>
        <w:t>8303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D75300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D75300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9F9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94751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34E9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5300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